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F2159">
      <w:pPr>
        <w:spacing w:line="520" w:lineRule="exact"/>
        <w:jc w:val="center"/>
        <w:rPr>
          <w:rFonts w:ascii="宋体" w:hAnsi="宋体" w:cs="宋体"/>
          <w:b/>
          <w:color w:val="auto"/>
          <w:kern w:val="0"/>
          <w:sz w:val="28"/>
          <w:szCs w:val="28"/>
          <w:highlight w:val="none"/>
        </w:rPr>
      </w:pPr>
      <w:bookmarkStart w:id="0" w:name="_Toc462926863"/>
      <w:bookmarkStart w:id="1" w:name="_Toc16922"/>
      <w:r>
        <w:rPr>
          <w:rFonts w:hint="eastAsia" w:ascii="宋体" w:hAnsi="宋体" w:cs="宋体"/>
          <w:b/>
          <w:color w:val="auto"/>
          <w:kern w:val="0"/>
          <w:sz w:val="28"/>
          <w:szCs w:val="28"/>
          <w:highlight w:val="none"/>
        </w:rPr>
        <w:t>技术规格书</w:t>
      </w:r>
    </w:p>
    <w:p w14:paraId="10161DB6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lang w:val="en-US" w:eastAsia="zh-CN" w:bidi="ar-SA"/>
        </w:rPr>
        <w:t>混凝土必须遵循《预拌混凝土》GB/T 14902-2012。供方保证混凝土达到《混凝土强度检验评定标准》GB/T 50107–2010。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。混凝土拌合材料必须符合相应的国家规范规定要求条款。</w:t>
      </w:r>
    </w:p>
    <w:p w14:paraId="6B4ADA1A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2.混凝土技术要求</w:t>
      </w:r>
    </w:p>
    <w:p w14:paraId="0A043F3A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水泥技术要求:水泥宜为硅酸盐水泥和普通硅酸盐水泥,不宜使用早强水泥。C30以下混凝土可采用粉煤灰硅酸盐水泥、矿渣硅酸盐水泥和复合硅酸盐水泥。水泥强度最小值应符合下表规定。</w:t>
      </w:r>
    </w:p>
    <w:p w14:paraId="4D3BC842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 xml:space="preserve">水泥强度值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单位：MPa</w:t>
      </w:r>
    </w:p>
    <w:tbl>
      <w:tblPr>
        <w:tblStyle w:val="3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410"/>
        <w:gridCol w:w="1410"/>
        <w:gridCol w:w="1411"/>
        <w:gridCol w:w="1411"/>
        <w:gridCol w:w="1412"/>
      </w:tblGrid>
      <w:tr w14:paraId="6F16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restart"/>
            <w:noWrap w:val="0"/>
            <w:vAlign w:val="center"/>
          </w:tcPr>
          <w:p w14:paraId="5D551DF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品种</w:t>
            </w:r>
          </w:p>
        </w:tc>
        <w:tc>
          <w:tcPr>
            <w:tcW w:w="1410" w:type="dxa"/>
            <w:vMerge w:val="restart"/>
            <w:noWrap w:val="0"/>
            <w:vAlign w:val="center"/>
          </w:tcPr>
          <w:p w14:paraId="52EE42C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强度等级</w:t>
            </w:r>
          </w:p>
        </w:tc>
        <w:tc>
          <w:tcPr>
            <w:tcW w:w="2821" w:type="dxa"/>
            <w:gridSpan w:val="2"/>
            <w:noWrap w:val="0"/>
            <w:vAlign w:val="center"/>
          </w:tcPr>
          <w:p w14:paraId="035DB11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抗拉强度</w:t>
            </w:r>
          </w:p>
        </w:tc>
        <w:tc>
          <w:tcPr>
            <w:tcW w:w="2823" w:type="dxa"/>
            <w:gridSpan w:val="2"/>
            <w:noWrap w:val="0"/>
            <w:vAlign w:val="center"/>
          </w:tcPr>
          <w:p w14:paraId="01333D5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抗折强度</w:t>
            </w:r>
          </w:p>
        </w:tc>
      </w:tr>
      <w:tr w14:paraId="436B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56C247D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vMerge w:val="continue"/>
            <w:noWrap w:val="0"/>
            <w:vAlign w:val="center"/>
          </w:tcPr>
          <w:p w14:paraId="1E720EE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6053F11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3天</w:t>
            </w:r>
          </w:p>
        </w:tc>
        <w:tc>
          <w:tcPr>
            <w:tcW w:w="1411" w:type="dxa"/>
            <w:noWrap w:val="0"/>
            <w:vAlign w:val="center"/>
          </w:tcPr>
          <w:p w14:paraId="22C0128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28天</w:t>
            </w:r>
          </w:p>
        </w:tc>
        <w:tc>
          <w:tcPr>
            <w:tcW w:w="1411" w:type="dxa"/>
            <w:noWrap w:val="0"/>
            <w:vAlign w:val="center"/>
          </w:tcPr>
          <w:p w14:paraId="1A4764C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3天</w:t>
            </w:r>
          </w:p>
        </w:tc>
        <w:tc>
          <w:tcPr>
            <w:tcW w:w="1412" w:type="dxa"/>
            <w:noWrap w:val="0"/>
            <w:vAlign w:val="center"/>
          </w:tcPr>
          <w:p w14:paraId="72E15CCD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28天</w:t>
            </w:r>
          </w:p>
        </w:tc>
      </w:tr>
      <w:tr w14:paraId="0C0A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restart"/>
            <w:noWrap w:val="0"/>
            <w:vAlign w:val="center"/>
          </w:tcPr>
          <w:p w14:paraId="78134B0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硅酸盐水泥</w:t>
            </w:r>
          </w:p>
        </w:tc>
        <w:tc>
          <w:tcPr>
            <w:tcW w:w="1410" w:type="dxa"/>
            <w:noWrap w:val="0"/>
            <w:vAlign w:val="center"/>
          </w:tcPr>
          <w:p w14:paraId="2F64164D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0" w:type="dxa"/>
            <w:noWrap w:val="0"/>
            <w:vAlign w:val="center"/>
          </w:tcPr>
          <w:p w14:paraId="771BAC9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17.0</w:t>
            </w:r>
          </w:p>
        </w:tc>
        <w:tc>
          <w:tcPr>
            <w:tcW w:w="1411" w:type="dxa"/>
            <w:noWrap w:val="0"/>
            <w:vAlign w:val="center"/>
          </w:tcPr>
          <w:p w14:paraId="4D3F620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1" w:type="dxa"/>
            <w:noWrap w:val="0"/>
            <w:vAlign w:val="center"/>
          </w:tcPr>
          <w:p w14:paraId="793A2C5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3.5</w:t>
            </w:r>
          </w:p>
        </w:tc>
        <w:tc>
          <w:tcPr>
            <w:tcW w:w="1412" w:type="dxa"/>
            <w:noWrap w:val="0"/>
            <w:vAlign w:val="center"/>
          </w:tcPr>
          <w:p w14:paraId="018BE83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6.5</w:t>
            </w:r>
          </w:p>
        </w:tc>
      </w:tr>
      <w:tr w14:paraId="2A08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2315D00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1F9EEF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42.5R</w:t>
            </w:r>
          </w:p>
        </w:tc>
        <w:tc>
          <w:tcPr>
            <w:tcW w:w="1410" w:type="dxa"/>
            <w:noWrap w:val="0"/>
            <w:vAlign w:val="center"/>
          </w:tcPr>
          <w:p w14:paraId="6208027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22.0</w:t>
            </w:r>
          </w:p>
        </w:tc>
        <w:tc>
          <w:tcPr>
            <w:tcW w:w="1411" w:type="dxa"/>
            <w:noWrap w:val="0"/>
            <w:vAlign w:val="center"/>
          </w:tcPr>
          <w:p w14:paraId="409579E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1" w:type="dxa"/>
            <w:noWrap w:val="0"/>
            <w:vAlign w:val="center"/>
          </w:tcPr>
          <w:p w14:paraId="27E605B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4.0</w:t>
            </w:r>
          </w:p>
        </w:tc>
        <w:tc>
          <w:tcPr>
            <w:tcW w:w="1412" w:type="dxa"/>
            <w:noWrap w:val="0"/>
            <w:vAlign w:val="center"/>
          </w:tcPr>
          <w:p w14:paraId="6AAD783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6.5</w:t>
            </w:r>
          </w:p>
        </w:tc>
      </w:tr>
      <w:tr w14:paraId="4992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53BCD2CD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71EF29E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0" w:type="dxa"/>
            <w:noWrap w:val="0"/>
            <w:vAlign w:val="center"/>
          </w:tcPr>
          <w:p w14:paraId="6636530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23.0</w:t>
            </w:r>
          </w:p>
        </w:tc>
        <w:tc>
          <w:tcPr>
            <w:tcW w:w="1411" w:type="dxa"/>
            <w:noWrap w:val="0"/>
            <w:vAlign w:val="center"/>
          </w:tcPr>
          <w:p w14:paraId="3369C09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1" w:type="dxa"/>
            <w:noWrap w:val="0"/>
            <w:vAlign w:val="center"/>
          </w:tcPr>
          <w:p w14:paraId="29D2AAD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4.0</w:t>
            </w:r>
          </w:p>
        </w:tc>
        <w:tc>
          <w:tcPr>
            <w:tcW w:w="1412" w:type="dxa"/>
            <w:noWrap w:val="0"/>
            <w:vAlign w:val="center"/>
          </w:tcPr>
          <w:p w14:paraId="03E1A34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7.0</w:t>
            </w:r>
          </w:p>
        </w:tc>
      </w:tr>
      <w:tr w14:paraId="5ACF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092B44F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18785EB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52.5R</w:t>
            </w:r>
          </w:p>
        </w:tc>
        <w:tc>
          <w:tcPr>
            <w:tcW w:w="1410" w:type="dxa"/>
            <w:noWrap w:val="0"/>
            <w:vAlign w:val="center"/>
          </w:tcPr>
          <w:p w14:paraId="47DC335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27.0</w:t>
            </w:r>
          </w:p>
        </w:tc>
        <w:tc>
          <w:tcPr>
            <w:tcW w:w="1411" w:type="dxa"/>
            <w:noWrap w:val="0"/>
            <w:vAlign w:val="center"/>
          </w:tcPr>
          <w:p w14:paraId="5A8D19B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1" w:type="dxa"/>
            <w:noWrap w:val="0"/>
            <w:vAlign w:val="center"/>
          </w:tcPr>
          <w:p w14:paraId="6B86419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5.0</w:t>
            </w:r>
          </w:p>
        </w:tc>
        <w:tc>
          <w:tcPr>
            <w:tcW w:w="1412" w:type="dxa"/>
            <w:noWrap w:val="0"/>
            <w:vAlign w:val="center"/>
          </w:tcPr>
          <w:p w14:paraId="676E2C1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7.0</w:t>
            </w:r>
          </w:p>
        </w:tc>
      </w:tr>
      <w:tr w14:paraId="5666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0D19D9F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294B95E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62.5</w:t>
            </w:r>
          </w:p>
        </w:tc>
        <w:tc>
          <w:tcPr>
            <w:tcW w:w="1410" w:type="dxa"/>
            <w:noWrap w:val="0"/>
            <w:vAlign w:val="center"/>
          </w:tcPr>
          <w:p w14:paraId="0BDFC67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28.0</w:t>
            </w:r>
          </w:p>
        </w:tc>
        <w:tc>
          <w:tcPr>
            <w:tcW w:w="1411" w:type="dxa"/>
            <w:noWrap w:val="0"/>
            <w:vAlign w:val="center"/>
          </w:tcPr>
          <w:p w14:paraId="225C58E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62.5</w:t>
            </w:r>
          </w:p>
        </w:tc>
        <w:tc>
          <w:tcPr>
            <w:tcW w:w="1411" w:type="dxa"/>
            <w:noWrap w:val="0"/>
            <w:vAlign w:val="center"/>
          </w:tcPr>
          <w:p w14:paraId="35929964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5.0</w:t>
            </w:r>
          </w:p>
        </w:tc>
        <w:tc>
          <w:tcPr>
            <w:tcW w:w="1412" w:type="dxa"/>
            <w:noWrap w:val="0"/>
            <w:vAlign w:val="center"/>
          </w:tcPr>
          <w:p w14:paraId="529B1E4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8.0</w:t>
            </w:r>
          </w:p>
        </w:tc>
      </w:tr>
      <w:tr w14:paraId="2FFF5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2B50312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914070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62.5R</w:t>
            </w:r>
          </w:p>
        </w:tc>
        <w:tc>
          <w:tcPr>
            <w:tcW w:w="1410" w:type="dxa"/>
            <w:noWrap w:val="0"/>
            <w:vAlign w:val="center"/>
          </w:tcPr>
          <w:p w14:paraId="3CC177E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32.0</w:t>
            </w:r>
          </w:p>
        </w:tc>
        <w:tc>
          <w:tcPr>
            <w:tcW w:w="1411" w:type="dxa"/>
            <w:noWrap w:val="0"/>
            <w:vAlign w:val="center"/>
          </w:tcPr>
          <w:p w14:paraId="4052F724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62.5</w:t>
            </w:r>
          </w:p>
        </w:tc>
        <w:tc>
          <w:tcPr>
            <w:tcW w:w="1411" w:type="dxa"/>
            <w:noWrap w:val="0"/>
            <w:vAlign w:val="center"/>
          </w:tcPr>
          <w:p w14:paraId="6AF859B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5.5</w:t>
            </w:r>
          </w:p>
        </w:tc>
        <w:tc>
          <w:tcPr>
            <w:tcW w:w="1412" w:type="dxa"/>
            <w:noWrap w:val="0"/>
            <w:vAlign w:val="center"/>
          </w:tcPr>
          <w:p w14:paraId="182A430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8.0</w:t>
            </w:r>
          </w:p>
        </w:tc>
      </w:tr>
      <w:tr w14:paraId="2D79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restart"/>
            <w:noWrap w:val="0"/>
            <w:vAlign w:val="center"/>
          </w:tcPr>
          <w:p w14:paraId="64F3984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普通硅酸盐水泥及复合</w:t>
            </w:r>
          </w:p>
          <w:p w14:paraId="3E6469D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硅酸盐水泥</w:t>
            </w:r>
          </w:p>
        </w:tc>
        <w:tc>
          <w:tcPr>
            <w:tcW w:w="1410" w:type="dxa"/>
            <w:noWrap w:val="0"/>
            <w:vAlign w:val="center"/>
          </w:tcPr>
          <w:p w14:paraId="295F65E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</w:t>
            </w:r>
          </w:p>
        </w:tc>
        <w:tc>
          <w:tcPr>
            <w:tcW w:w="1410" w:type="dxa"/>
            <w:noWrap w:val="0"/>
            <w:vAlign w:val="center"/>
          </w:tcPr>
          <w:p w14:paraId="7CF5D25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11.0</w:t>
            </w:r>
          </w:p>
        </w:tc>
        <w:tc>
          <w:tcPr>
            <w:tcW w:w="1411" w:type="dxa"/>
            <w:noWrap w:val="0"/>
            <w:vAlign w:val="center"/>
          </w:tcPr>
          <w:p w14:paraId="14EFBEE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</w:t>
            </w:r>
          </w:p>
        </w:tc>
        <w:tc>
          <w:tcPr>
            <w:tcW w:w="1411" w:type="dxa"/>
            <w:noWrap w:val="0"/>
            <w:vAlign w:val="center"/>
          </w:tcPr>
          <w:p w14:paraId="4380952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2.5</w:t>
            </w:r>
          </w:p>
        </w:tc>
        <w:tc>
          <w:tcPr>
            <w:tcW w:w="1412" w:type="dxa"/>
            <w:noWrap w:val="0"/>
            <w:vAlign w:val="center"/>
          </w:tcPr>
          <w:p w14:paraId="2E04DAC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5.5</w:t>
            </w:r>
          </w:p>
        </w:tc>
      </w:tr>
      <w:tr w14:paraId="4E35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70858BA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9097E2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32.5R</w:t>
            </w:r>
          </w:p>
        </w:tc>
        <w:tc>
          <w:tcPr>
            <w:tcW w:w="1410" w:type="dxa"/>
            <w:noWrap w:val="0"/>
            <w:vAlign w:val="center"/>
          </w:tcPr>
          <w:p w14:paraId="24F00EB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16.0</w:t>
            </w:r>
          </w:p>
        </w:tc>
        <w:tc>
          <w:tcPr>
            <w:tcW w:w="1411" w:type="dxa"/>
            <w:noWrap w:val="0"/>
            <w:vAlign w:val="center"/>
          </w:tcPr>
          <w:p w14:paraId="279DB244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</w:t>
            </w:r>
          </w:p>
        </w:tc>
        <w:tc>
          <w:tcPr>
            <w:tcW w:w="1411" w:type="dxa"/>
            <w:noWrap w:val="0"/>
            <w:vAlign w:val="center"/>
          </w:tcPr>
          <w:p w14:paraId="7DEC11F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3.5</w:t>
            </w:r>
          </w:p>
        </w:tc>
        <w:tc>
          <w:tcPr>
            <w:tcW w:w="1412" w:type="dxa"/>
            <w:noWrap w:val="0"/>
            <w:vAlign w:val="center"/>
          </w:tcPr>
          <w:p w14:paraId="70EBE1AF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5.5</w:t>
            </w:r>
          </w:p>
        </w:tc>
      </w:tr>
      <w:tr w14:paraId="5A110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5FE5BD7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617DC51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0" w:type="dxa"/>
            <w:noWrap w:val="0"/>
            <w:vAlign w:val="center"/>
          </w:tcPr>
          <w:p w14:paraId="3261AA0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16.0</w:t>
            </w:r>
          </w:p>
        </w:tc>
        <w:tc>
          <w:tcPr>
            <w:tcW w:w="1411" w:type="dxa"/>
            <w:noWrap w:val="0"/>
            <w:vAlign w:val="center"/>
          </w:tcPr>
          <w:p w14:paraId="759D531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1" w:type="dxa"/>
            <w:noWrap w:val="0"/>
            <w:vAlign w:val="center"/>
          </w:tcPr>
          <w:p w14:paraId="27E30FA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3.5</w:t>
            </w:r>
          </w:p>
        </w:tc>
        <w:tc>
          <w:tcPr>
            <w:tcW w:w="1412" w:type="dxa"/>
            <w:noWrap w:val="0"/>
            <w:vAlign w:val="center"/>
          </w:tcPr>
          <w:p w14:paraId="66B4179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6.5</w:t>
            </w:r>
          </w:p>
        </w:tc>
      </w:tr>
      <w:tr w14:paraId="7943F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22E92F20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75284C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42.5R</w:t>
            </w:r>
          </w:p>
        </w:tc>
        <w:tc>
          <w:tcPr>
            <w:tcW w:w="1410" w:type="dxa"/>
            <w:noWrap w:val="0"/>
            <w:vAlign w:val="center"/>
          </w:tcPr>
          <w:p w14:paraId="4B86864D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21.0</w:t>
            </w:r>
          </w:p>
        </w:tc>
        <w:tc>
          <w:tcPr>
            <w:tcW w:w="1411" w:type="dxa"/>
            <w:noWrap w:val="0"/>
            <w:vAlign w:val="center"/>
          </w:tcPr>
          <w:p w14:paraId="36ADD82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1" w:type="dxa"/>
            <w:noWrap w:val="0"/>
            <w:vAlign w:val="center"/>
          </w:tcPr>
          <w:p w14:paraId="12A0051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4.0</w:t>
            </w:r>
          </w:p>
        </w:tc>
        <w:tc>
          <w:tcPr>
            <w:tcW w:w="1412" w:type="dxa"/>
            <w:noWrap w:val="0"/>
            <w:vAlign w:val="center"/>
          </w:tcPr>
          <w:p w14:paraId="6C1C47E0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6.5</w:t>
            </w:r>
          </w:p>
        </w:tc>
      </w:tr>
      <w:tr w14:paraId="5F42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5FE377AF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34D780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0" w:type="dxa"/>
            <w:noWrap w:val="0"/>
            <w:vAlign w:val="center"/>
          </w:tcPr>
          <w:p w14:paraId="605EF01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22.0</w:t>
            </w:r>
          </w:p>
        </w:tc>
        <w:tc>
          <w:tcPr>
            <w:tcW w:w="1411" w:type="dxa"/>
            <w:noWrap w:val="0"/>
            <w:vAlign w:val="center"/>
          </w:tcPr>
          <w:p w14:paraId="65DD7EE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1" w:type="dxa"/>
            <w:noWrap w:val="0"/>
            <w:vAlign w:val="center"/>
          </w:tcPr>
          <w:p w14:paraId="0534F0F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4.0</w:t>
            </w:r>
          </w:p>
        </w:tc>
        <w:tc>
          <w:tcPr>
            <w:tcW w:w="1412" w:type="dxa"/>
            <w:noWrap w:val="0"/>
            <w:vAlign w:val="center"/>
          </w:tcPr>
          <w:p w14:paraId="2BE2BD2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7.0</w:t>
            </w:r>
          </w:p>
        </w:tc>
      </w:tr>
      <w:tr w14:paraId="16D1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4EF79DF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29B1A80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52.5R</w:t>
            </w:r>
          </w:p>
        </w:tc>
        <w:tc>
          <w:tcPr>
            <w:tcW w:w="1410" w:type="dxa"/>
            <w:noWrap w:val="0"/>
            <w:vAlign w:val="center"/>
          </w:tcPr>
          <w:p w14:paraId="6D3BE190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26.0</w:t>
            </w:r>
          </w:p>
        </w:tc>
        <w:tc>
          <w:tcPr>
            <w:tcW w:w="1411" w:type="dxa"/>
            <w:noWrap w:val="0"/>
            <w:vAlign w:val="center"/>
          </w:tcPr>
          <w:p w14:paraId="10D0227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1" w:type="dxa"/>
            <w:noWrap w:val="0"/>
            <w:vAlign w:val="center"/>
          </w:tcPr>
          <w:p w14:paraId="41B1368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5.0</w:t>
            </w:r>
          </w:p>
        </w:tc>
        <w:tc>
          <w:tcPr>
            <w:tcW w:w="1412" w:type="dxa"/>
            <w:noWrap w:val="0"/>
            <w:vAlign w:val="center"/>
          </w:tcPr>
          <w:p w14:paraId="3C16376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7.0</w:t>
            </w:r>
          </w:p>
        </w:tc>
      </w:tr>
      <w:tr w14:paraId="1ADC9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restart"/>
            <w:noWrap w:val="0"/>
            <w:vAlign w:val="center"/>
          </w:tcPr>
          <w:p w14:paraId="32CFFA2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矿渣硅酸盐水泥、火山灰质硅酸盐水泥及</w:t>
            </w:r>
          </w:p>
          <w:p w14:paraId="539A883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粉煤灰</w:t>
            </w:r>
          </w:p>
          <w:p w14:paraId="2D46D29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硅酸盐水泥</w:t>
            </w:r>
          </w:p>
        </w:tc>
        <w:tc>
          <w:tcPr>
            <w:tcW w:w="1410" w:type="dxa"/>
            <w:noWrap w:val="0"/>
            <w:vAlign w:val="center"/>
          </w:tcPr>
          <w:p w14:paraId="7287552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</w:t>
            </w:r>
          </w:p>
        </w:tc>
        <w:tc>
          <w:tcPr>
            <w:tcW w:w="1410" w:type="dxa"/>
            <w:noWrap w:val="0"/>
            <w:vAlign w:val="center"/>
          </w:tcPr>
          <w:p w14:paraId="6F0692D0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10.0</w:t>
            </w:r>
          </w:p>
        </w:tc>
        <w:tc>
          <w:tcPr>
            <w:tcW w:w="1411" w:type="dxa"/>
            <w:noWrap w:val="0"/>
            <w:vAlign w:val="center"/>
          </w:tcPr>
          <w:p w14:paraId="59188B2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</w:t>
            </w:r>
          </w:p>
        </w:tc>
        <w:tc>
          <w:tcPr>
            <w:tcW w:w="1411" w:type="dxa"/>
            <w:noWrap w:val="0"/>
            <w:vAlign w:val="center"/>
          </w:tcPr>
          <w:p w14:paraId="34A46F90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2.5</w:t>
            </w:r>
          </w:p>
        </w:tc>
        <w:tc>
          <w:tcPr>
            <w:tcW w:w="1412" w:type="dxa"/>
            <w:noWrap w:val="0"/>
            <w:vAlign w:val="center"/>
          </w:tcPr>
          <w:p w14:paraId="6583283F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5.5</w:t>
            </w:r>
          </w:p>
        </w:tc>
      </w:tr>
      <w:tr w14:paraId="33DDC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0551DF49">
            <w:pPr>
              <w:snapToGrid w:val="0"/>
              <w:spacing w:line="500" w:lineRule="exact"/>
              <w:ind w:firstLine="48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9C8E54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32.5R</w:t>
            </w:r>
          </w:p>
        </w:tc>
        <w:tc>
          <w:tcPr>
            <w:tcW w:w="1410" w:type="dxa"/>
            <w:noWrap w:val="0"/>
            <w:vAlign w:val="center"/>
          </w:tcPr>
          <w:p w14:paraId="7957F35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15.0</w:t>
            </w:r>
          </w:p>
        </w:tc>
        <w:tc>
          <w:tcPr>
            <w:tcW w:w="1411" w:type="dxa"/>
            <w:noWrap w:val="0"/>
            <w:vAlign w:val="center"/>
          </w:tcPr>
          <w:p w14:paraId="69D991B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32.5</w:t>
            </w:r>
          </w:p>
        </w:tc>
        <w:tc>
          <w:tcPr>
            <w:tcW w:w="1411" w:type="dxa"/>
            <w:noWrap w:val="0"/>
            <w:vAlign w:val="center"/>
          </w:tcPr>
          <w:p w14:paraId="1930B7F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3.5</w:t>
            </w:r>
          </w:p>
        </w:tc>
        <w:tc>
          <w:tcPr>
            <w:tcW w:w="1412" w:type="dxa"/>
            <w:noWrap w:val="0"/>
            <w:vAlign w:val="center"/>
          </w:tcPr>
          <w:p w14:paraId="34AC575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5.5</w:t>
            </w:r>
          </w:p>
        </w:tc>
      </w:tr>
      <w:tr w14:paraId="4029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3BFF3063">
            <w:pPr>
              <w:snapToGrid w:val="0"/>
              <w:spacing w:line="500" w:lineRule="exact"/>
              <w:ind w:firstLine="48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097CE7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0" w:type="dxa"/>
            <w:noWrap w:val="0"/>
            <w:vAlign w:val="center"/>
          </w:tcPr>
          <w:p w14:paraId="695B6E5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15.0</w:t>
            </w:r>
          </w:p>
        </w:tc>
        <w:tc>
          <w:tcPr>
            <w:tcW w:w="1411" w:type="dxa"/>
            <w:noWrap w:val="0"/>
            <w:vAlign w:val="center"/>
          </w:tcPr>
          <w:p w14:paraId="3989BF8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1" w:type="dxa"/>
            <w:noWrap w:val="0"/>
            <w:vAlign w:val="center"/>
          </w:tcPr>
          <w:p w14:paraId="1695B29F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3.5</w:t>
            </w:r>
          </w:p>
        </w:tc>
        <w:tc>
          <w:tcPr>
            <w:tcW w:w="1412" w:type="dxa"/>
            <w:noWrap w:val="0"/>
            <w:vAlign w:val="center"/>
          </w:tcPr>
          <w:p w14:paraId="4F28A42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6.5</w:t>
            </w:r>
          </w:p>
        </w:tc>
      </w:tr>
      <w:tr w14:paraId="7BE8F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63E53235">
            <w:pPr>
              <w:snapToGrid w:val="0"/>
              <w:spacing w:line="500" w:lineRule="exact"/>
              <w:ind w:firstLine="48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4AE9B7E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42.5R</w:t>
            </w:r>
          </w:p>
        </w:tc>
        <w:tc>
          <w:tcPr>
            <w:tcW w:w="1410" w:type="dxa"/>
            <w:noWrap w:val="0"/>
            <w:vAlign w:val="center"/>
          </w:tcPr>
          <w:p w14:paraId="3DDB40B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19.0</w:t>
            </w:r>
          </w:p>
        </w:tc>
        <w:tc>
          <w:tcPr>
            <w:tcW w:w="1411" w:type="dxa"/>
            <w:noWrap w:val="0"/>
            <w:vAlign w:val="center"/>
          </w:tcPr>
          <w:p w14:paraId="43BC903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42.5</w:t>
            </w:r>
          </w:p>
        </w:tc>
        <w:tc>
          <w:tcPr>
            <w:tcW w:w="1411" w:type="dxa"/>
            <w:noWrap w:val="0"/>
            <w:vAlign w:val="center"/>
          </w:tcPr>
          <w:p w14:paraId="2623FC0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4.0</w:t>
            </w:r>
          </w:p>
        </w:tc>
        <w:tc>
          <w:tcPr>
            <w:tcW w:w="1412" w:type="dxa"/>
            <w:noWrap w:val="0"/>
            <w:vAlign w:val="center"/>
          </w:tcPr>
          <w:p w14:paraId="741B1E4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6.5</w:t>
            </w:r>
          </w:p>
        </w:tc>
      </w:tr>
      <w:tr w14:paraId="64559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236C88D2">
            <w:pPr>
              <w:snapToGrid w:val="0"/>
              <w:spacing w:line="500" w:lineRule="exact"/>
              <w:ind w:firstLine="48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DD9DAF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0" w:type="dxa"/>
            <w:noWrap w:val="0"/>
            <w:vAlign w:val="center"/>
          </w:tcPr>
          <w:p w14:paraId="67CE07F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21.0</w:t>
            </w:r>
          </w:p>
        </w:tc>
        <w:tc>
          <w:tcPr>
            <w:tcW w:w="1411" w:type="dxa"/>
            <w:noWrap w:val="0"/>
            <w:vAlign w:val="center"/>
          </w:tcPr>
          <w:p w14:paraId="50755C5D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1" w:type="dxa"/>
            <w:noWrap w:val="0"/>
            <w:vAlign w:val="center"/>
          </w:tcPr>
          <w:p w14:paraId="0E15644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4.0</w:t>
            </w:r>
          </w:p>
        </w:tc>
        <w:tc>
          <w:tcPr>
            <w:tcW w:w="1412" w:type="dxa"/>
            <w:noWrap w:val="0"/>
            <w:vAlign w:val="center"/>
          </w:tcPr>
          <w:p w14:paraId="2E8938A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7.0</w:t>
            </w:r>
          </w:p>
        </w:tc>
      </w:tr>
      <w:tr w14:paraId="6599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585" w:type="dxa"/>
            <w:vMerge w:val="continue"/>
            <w:noWrap w:val="0"/>
            <w:vAlign w:val="center"/>
          </w:tcPr>
          <w:p w14:paraId="3EF5E267">
            <w:pPr>
              <w:snapToGrid w:val="0"/>
              <w:spacing w:line="500" w:lineRule="exact"/>
              <w:ind w:firstLine="48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CFC57EE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52.5R</w:t>
            </w:r>
          </w:p>
        </w:tc>
        <w:tc>
          <w:tcPr>
            <w:tcW w:w="1410" w:type="dxa"/>
            <w:noWrap w:val="0"/>
            <w:vAlign w:val="center"/>
          </w:tcPr>
          <w:p w14:paraId="50AEB90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23.0</w:t>
            </w:r>
          </w:p>
        </w:tc>
        <w:tc>
          <w:tcPr>
            <w:tcW w:w="1411" w:type="dxa"/>
            <w:noWrap w:val="0"/>
            <w:vAlign w:val="center"/>
          </w:tcPr>
          <w:p w14:paraId="715FDC2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1411" w:type="dxa"/>
            <w:noWrap w:val="0"/>
            <w:vAlign w:val="center"/>
          </w:tcPr>
          <w:p w14:paraId="5531FE0E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4.5</w:t>
            </w:r>
          </w:p>
        </w:tc>
        <w:tc>
          <w:tcPr>
            <w:tcW w:w="1412" w:type="dxa"/>
            <w:noWrap w:val="0"/>
            <w:vAlign w:val="center"/>
          </w:tcPr>
          <w:p w14:paraId="7B715B18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7.0</w:t>
            </w:r>
          </w:p>
        </w:tc>
      </w:tr>
    </w:tbl>
    <w:p w14:paraId="705693A6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粗骨料技术要求:采用5mm～31.5mm连续级配碎石,针片状颗粒含量≤10%,含泥量小于1%,石子吸水率小于1.5%。粗骨料最大粒径与输送管径(管径按Φ125考虑)之比:不宜大于1:2.5(即最大粒径为25mm)由厂家提供现场试验报告,粗骨料应符合《普通混凝土用砂石质量及检验方法标准》(JGJ52-2006)要求。</w:t>
      </w:r>
    </w:p>
    <w:p w14:paraId="05B4EB2A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细骨料技术要求:砂采用中砂或中粗砂,细度模数为2.6～3.2,含泥量小于3%,符合《普通混凝土用砂石质量及检验方法标准》(JGJ52-2006)的规定并提供现场试验报告。</w:t>
      </w:r>
    </w:p>
    <w:p w14:paraId="733A2D4B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掺合料技术要求:矿物掺和料应为性能稳定的粉煤灰、磨细矿渣粉和硅灰。当使用其他新型矿物掺和料时,应按国家和铁总有关规定进行试验验证并经审定通过后方可使用。</w:t>
      </w:r>
    </w:p>
    <w:p w14:paraId="33CF5BA5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外加剂要求:本工程混凝土的泵送剂、减水剂、膨胀剂、防水剂、密实剂、引气剂、复合型外加剂等,其品种和掺量应由试验确定。所有外加剂须符合国家或行业标准一等品及以上的质量要求,标准主要有《混凝土外加剂》,《混凝土外加剂应用技术规范》、《混凝土泵送剂》和《商品混凝土》。</w:t>
      </w:r>
    </w:p>
    <w:p w14:paraId="0510B703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混凝土碱集料反应控制要求:本工程地下室底板、地下室外墙为二b类环境,须采用低碱混凝土,即采取预防混凝土碱集料反应措施。混凝土中所用水泥、砂石料、粉煤灰、外加剂必须有碱含量报告,出据法定检测报告,控制混凝士各类材料总碱含量Na2O+0.658K2O)不超过3kgm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。</w:t>
      </w:r>
    </w:p>
    <w:p w14:paraId="352B0A9A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要求严格控制混凝土中的氯盐含量,混凝土中的氯离子总含量应小于水泥重量的0.2%。</w:t>
      </w:r>
    </w:p>
    <w:p w14:paraId="3C8CDFDE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初凝时间:要求大于4h:终凝时间:要求8h～10h。</w:t>
      </w:r>
    </w:p>
    <w:p w14:paraId="2154B499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坍落度要求:混凝土坍落度为120mm±20mm,无抗渗要求的混凝土坍落度水平构件为14mm±20mm,竖向构件为160±2mm。</w:t>
      </w:r>
    </w:p>
    <w:p w14:paraId="5508717D">
      <w:pPr>
        <w:spacing w:line="380" w:lineRule="atLeas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其他技术指标:混凝土水灰比宜在0.4～0.6,砂率控制在38%～45%,用于结构的混凝土最小水泥用量为300kg/m3(当掺加活性掺和料时不得小于280kg/m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)。</w:t>
      </w:r>
    </w:p>
    <w:p w14:paraId="5ACA474D">
      <w:pPr>
        <w:rPr>
          <w:highlight w:val="none"/>
        </w:rPr>
      </w:pPr>
    </w:p>
    <w:bookmarkEnd w:id="0"/>
    <w:bookmarkEnd w:id="1"/>
    <w:p w14:paraId="2CD8BE86">
      <w:pPr>
        <w:spacing w:line="400" w:lineRule="exact"/>
        <w:rPr>
          <w:rFonts w:ascii="宋体" w:hAnsi="宋体" w:cs="Courier New"/>
          <w:color w:val="000000"/>
          <w:szCs w:val="21"/>
          <w:highlight w:val="none"/>
        </w:rPr>
      </w:pPr>
    </w:p>
    <w:p w14:paraId="6FFE0D47">
      <w:pPr>
        <w:spacing w:line="400" w:lineRule="exact"/>
        <w:rPr>
          <w:rFonts w:ascii="宋体" w:hAnsi="宋体"/>
          <w:color w:val="000000"/>
          <w:highlight w:val="none"/>
        </w:rPr>
      </w:pPr>
    </w:p>
    <w:p w14:paraId="5E4A0ED7">
      <w:pPr>
        <w:rPr>
          <w:highlight w:val="none"/>
        </w:rPr>
      </w:pPr>
    </w:p>
    <w:p w14:paraId="1CBFF99E">
      <w:pPr>
        <w:rPr>
          <w:highlight w:val="none"/>
        </w:rPr>
      </w:pPr>
    </w:p>
    <w:p w14:paraId="216D9A22">
      <w:pPr>
        <w:rPr>
          <w:highlight w:val="none"/>
        </w:rPr>
      </w:pPr>
    </w:p>
    <w:p w14:paraId="0657128F">
      <w:pPr>
        <w:rPr>
          <w:highlight w:val="none"/>
        </w:rPr>
      </w:pPr>
    </w:p>
    <w:p w14:paraId="51C239E6">
      <w:pPr>
        <w:rPr>
          <w:highlight w:val="none"/>
        </w:rPr>
      </w:pPr>
    </w:p>
    <w:p w14:paraId="04734044">
      <w:pPr>
        <w:rPr>
          <w:highlight w:val="none"/>
        </w:rPr>
      </w:pPr>
    </w:p>
    <w:p w14:paraId="299B6D52">
      <w:pPr>
        <w:rPr>
          <w:highlight w:val="none"/>
        </w:rPr>
      </w:pPr>
    </w:p>
    <w:p w14:paraId="128314CA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67FB6"/>
    <w:rsid w:val="13F6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2025-05-20T00:57:00Z</dcterms:created>
  <dc:creator>凇</dc:creator>
  <cp:lastModifiedBy>凇</cp:lastModifiedBy>
  <dcterms:modified xsi:type="dcterms:W3CDTF">2025-05-20T00:57:29Z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C591A5EADDEF43CC972BEEABB24EA848_11</vt:lpwstr>
  </property>
  <property fmtid="{D5CDD505-2E9C-101B-9397-08002B2CF9AE}" pid="4" name="KSOTemplateDocerSaveRecord">
    <vt:lpwstr>eyJoZGlkIjoiMTIzODgxYWVkZTc4M2Y5NjY4ZTk0NjM5YzBmNzhkMDQiLCJ1c2VySWQiOiIxNjk1NTk5MzY2In0=</vt:lpwstr>
  </property>
</Properties>
</file>